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Estimados Miembros,</w:t>
      </w:r>
    </w:p>
    <w:p w:rsidR="00000000" w:rsidDel="00000000" w:rsidP="00000000" w:rsidRDefault="00000000" w:rsidRPr="00000000" w14:paraId="00000002">
      <w:pPr>
        <w:spacing w:after="160" w:line="256.7994545454545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6.7994545454545" w:lineRule="auto"/>
        <w:jc w:val="both"/>
        <w:rPr/>
      </w:pPr>
      <w:r w:rsidDel="00000000" w:rsidR="00000000" w:rsidRPr="00000000">
        <w:rPr>
          <w:rtl w:val="0"/>
        </w:rPr>
        <w:t xml:space="preserve"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:rsidR="00000000" w:rsidDel="00000000" w:rsidP="00000000" w:rsidRDefault="00000000" w:rsidRPr="00000000" w14:paraId="00000004">
      <w:pPr>
        <w:spacing w:after="160" w:line="256.7994545454545" w:lineRule="auto"/>
        <w:jc w:val="both"/>
        <w:rPr>
          <w:i w:val="1"/>
        </w:rPr>
      </w:pPr>
      <w:r w:rsidDel="00000000" w:rsidR="00000000" w:rsidRPr="00000000">
        <w:rPr>
          <w:rtl w:val="0"/>
        </w:rPr>
        <w:t xml:space="preserve">El temario sugerido para esta reunión es el siguiente: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56.8" w:lineRule="auto"/>
        <w:ind w:left="720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Abuso de tratado. La doctrina del Precedente. Prescripción: (i) aplicación del Código Penal en cuanto a los plazos de prescripción y el cómputo; (ii) la suspensión de la prescripción para aplicar multas dispuestas por leyes especiales, dictadas con posterioridad a la comisión de la infracción; (iii) la aplicabilidad temporal de una modificación a una causal de suspensión que es introducida luego de la comisión del ilícito. </w:t>
      </w:r>
    </w:p>
    <w:p w:rsidR="00000000" w:rsidDel="00000000" w:rsidP="00000000" w:rsidRDefault="00000000" w:rsidRPr="00000000" w14:paraId="00000008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Comentarios a cargo de Alberto Mastandrea y de la Comisión.</w:t>
      </w:r>
    </w:p>
    <w:p w:rsidR="00000000" w:rsidDel="00000000" w:rsidP="00000000" w:rsidRDefault="00000000" w:rsidRPr="00000000" w14:paraId="0000000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TFN, Sala “A”, Expte. 43.100-I y 44.494-I. (20/12/2024), “</w:t>
      </w:r>
      <w:r w:rsidDel="00000000" w:rsidR="00000000" w:rsidRPr="00000000">
        <w:rPr>
          <w:b w:val="1"/>
          <w:rtl w:val="0"/>
        </w:rPr>
        <w:t xml:space="preserve">Cosméticos Avon SACI”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Tribunal competente para ejecutar la devolución del “solve” en causas de seguridad social. Su aplicación a otras materias. </w:t>
      </w:r>
    </w:p>
    <w:p w:rsidR="00000000" w:rsidDel="00000000" w:rsidP="00000000" w:rsidRDefault="00000000" w:rsidRPr="00000000" w14:paraId="0000000E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Comentarios a cargo de Nicolás Nogueira.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CSJN, (27/3/2025), </w:t>
      </w:r>
      <w:r w:rsidDel="00000000" w:rsidR="00000000" w:rsidRPr="00000000">
        <w:rPr>
          <w:b w:val="1"/>
          <w:rtl w:val="0"/>
        </w:rPr>
        <w:t xml:space="preserve">“Reutemann Automotores c/AFIP-DGI”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Habeas data. Procedencia de la vía a fin de rectificar al sujeto pasivo en AGIP.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highlight w:val="white"/>
          <w:rtl w:val="0"/>
        </w:rPr>
        <w:t xml:space="preserve">Comentarios a cargo de Juan Pablo Bayle.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TSJ CABA, 22/5/2024, </w:t>
      </w:r>
      <w:r w:rsidDel="00000000" w:rsidR="00000000" w:rsidRPr="00000000">
        <w:rPr>
          <w:b w:val="1"/>
          <w:rtl w:val="0"/>
        </w:rPr>
        <w:t xml:space="preserve">“GCBA s/ Queja por recurso de inconstitucionalidad denegado en Coto Centro Integral de Comercialización S.A. c.GCBA s/ Habeas Data”. 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Prescripción</w:t>
      </w:r>
      <w:r w:rsidDel="00000000" w:rsidR="00000000" w:rsidRPr="00000000">
        <w:rPr>
          <w:b w:val="1"/>
          <w:rtl w:val="0"/>
        </w:rPr>
        <w:t xml:space="preserve"> y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repetición: cuando la Justicia reinicia el reloj en defe</w:t>
      </w:r>
      <w:r w:rsidDel="00000000" w:rsidR="00000000" w:rsidRPr="00000000">
        <w:rPr>
          <w:b w:val="1"/>
          <w:rtl w:val="0"/>
        </w:rPr>
        <w:t xml:space="preserve">nsa del contribuyente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Comentarios a cargo de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Alberto Mastandrea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CNACAF, sala IV, 10/12/2024, </w:t>
      </w:r>
      <w:r w:rsidDel="00000000" w:rsidR="00000000" w:rsidRPr="00000000">
        <w:rPr>
          <w:b w:val="1"/>
          <w:rtl w:val="0"/>
        </w:rPr>
        <w:t xml:space="preserve">“Bridgestone Argentina SAIC c. EN-AFIP s/Dirección General Impositiva”</w:t>
      </w:r>
    </w:p>
    <w:p w:rsidR="00000000" w:rsidDel="00000000" w:rsidP="00000000" w:rsidRDefault="00000000" w:rsidRPr="00000000" w14:paraId="0000001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El instituto de la 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ompensación.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Comentarios a cargo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Julián Ortiz.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CNACAF, sala IV, 11/12/2024, </w:t>
      </w:r>
      <w:r w:rsidDel="00000000" w:rsidR="00000000" w:rsidRPr="00000000">
        <w:rPr>
          <w:b w:val="1"/>
          <w:rtl w:val="0"/>
        </w:rPr>
        <w:t xml:space="preserve">“Cattorini, Hugo Héctor c. EN –AFIP-DGI s/Proceso de conocimiento”. 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Sanciones tributarias y 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eincidencia. </w:t>
      </w:r>
      <w:r w:rsidDel="00000000" w:rsidR="00000000" w:rsidRPr="00000000">
        <w:rPr>
          <w:b w:val="1"/>
          <w:rtl w:val="0"/>
        </w:rPr>
        <w:t xml:space="preserve"> Mirada de la existencia de dicho instituto en la Ley 11.683, previo a la reforma introducida por la Ley 27.430.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rtl w:val="0"/>
        </w:rPr>
        <w:t xml:space="preserve">Comentarios a cargo de </w:t>
      </w:r>
      <w:r w:rsidDel="00000000" w:rsidR="00000000" w:rsidRPr="00000000">
        <w:rPr>
          <w:b w:val="1"/>
          <w:rtl w:val="0"/>
        </w:rPr>
        <w:t xml:space="preserve">Julieta Luchessi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CNACAF, sala V, 27/12/2024,</w:t>
      </w:r>
      <w:r w:rsidDel="00000000" w:rsidR="00000000" w:rsidRPr="00000000">
        <w:rPr>
          <w:b w:val="1"/>
          <w:rtl w:val="0"/>
        </w:rPr>
        <w:t xml:space="preserve"> Gómez Collantes, Lorena María Soledad (TF 37861756-I) c. Dirección General Impositiva s/ Recurso directo de organismo externo”</w:t>
      </w:r>
    </w:p>
    <w:p w:rsidR="00000000" w:rsidDel="00000000" w:rsidP="00000000" w:rsidRDefault="00000000" w:rsidRPr="00000000" w14:paraId="0000002D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Efectos del recurso por cancelación de CUIT. Implicancias prácticas de la discusión.</w:t>
      </w:r>
    </w:p>
    <w:p w:rsidR="00000000" w:rsidDel="00000000" w:rsidP="00000000" w:rsidRDefault="00000000" w:rsidRPr="00000000" w14:paraId="00000030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jc w:val="both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Comentarios a cargo de la Comisión.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CNACAF, sala IV, 25/2/2025, </w:t>
      </w:r>
      <w:r w:rsidDel="00000000" w:rsidR="00000000" w:rsidRPr="00000000">
        <w:rPr>
          <w:b w:val="1"/>
          <w:rtl w:val="0"/>
        </w:rPr>
        <w:t xml:space="preserve">“Torres Varela, Facundo c/ EN- ARCA- DGI s/</w:t>
      </w:r>
    </w:p>
    <w:p w:rsidR="00000000" w:rsidDel="00000000" w:rsidP="00000000" w:rsidRDefault="00000000" w:rsidRPr="00000000" w14:paraId="0000003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Amparo Ley 16.986” (Expte. CAF 15315/2024/CA1)</w:t>
      </w:r>
    </w:p>
    <w:p w:rsidR="00000000" w:rsidDel="00000000" w:rsidP="00000000" w:rsidRDefault="00000000" w:rsidRPr="00000000" w14:paraId="0000003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Aplicación de los Beneficios del Régimen de Regularización de Activos de la Ley 27.743. </w:t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jc w:val="both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Comentarios a cargo de la Comisión.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Instrucción General 8/2024 (30/12/2024). Acciones a seguir respecto a Verificaciones, Fiscalizaciones, Determinaciones de oficio e Investigaciones en curso.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820A8"/>
    <w:pPr>
      <w:spacing w:after="0" w:line="240" w:lineRule="auto"/>
    </w:pPr>
    <w:rPr>
      <w:rFonts w:ascii="Times New Roman" w:cs="Times New Roman" w:hAnsi="Times New Roman"/>
      <w:szCs w:val="24"/>
      <w:lang w:eastAsia="es-ES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extoennegrita">
    <w:name w:val="Strong"/>
    <w:basedOn w:val="Fuentedeprrafopredeter"/>
    <w:uiPriority w:val="22"/>
    <w:qFormat w:val="1"/>
    <w:rsid w:val="001820A8"/>
    <w:rPr>
      <w:b w:val="1"/>
      <w:bCs w:val="1"/>
    </w:rPr>
  </w:style>
  <w:style w:type="paragraph" w:styleId="Prrafodelista">
    <w:name w:val="List Paragraph"/>
    <w:basedOn w:val="Normal"/>
    <w:uiPriority w:val="34"/>
    <w:qFormat w:val="1"/>
    <w:rsid w:val="00FB684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4Y9Gc5wqsA9fi425tkZwefcf4w==">CgMxLjAyCGguZ2pkZ3hzOAByITFyOXQ1TDBoUjdnTDFKLTZFcTVkYWVIWFppY3hNd1NOcg==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2025-03-07T17:35:00Z</dcterms:created>
  <dc:creator>Fernando</dc:creator>
</cp:coreProperties>
</file>